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F3" w:rsidRDefault="009C71F3" w:rsidP="009C7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19CE3102</w:t>
      </w:r>
      <w:r w:rsidRPr="000A7D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– QUANTITY SURVEYING AND VALUATION</w:t>
      </w:r>
    </w:p>
    <w:p w:rsidR="009C71F3" w:rsidRDefault="009C71F3" w:rsidP="009C7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5"/>
        <w:gridCol w:w="2087"/>
        <w:gridCol w:w="3414"/>
        <w:gridCol w:w="1946"/>
      </w:tblGrid>
      <w:tr w:rsidR="009C71F3" w:rsidRPr="00B5789C" w:rsidTr="00AF4D66">
        <w:trPr>
          <w:trHeight w:val="360"/>
        </w:trPr>
        <w:tc>
          <w:tcPr>
            <w:tcW w:w="971" w:type="pct"/>
          </w:tcPr>
          <w:p w:rsidR="009C71F3" w:rsidRPr="00B5789C" w:rsidRDefault="009C71F3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129" w:type="pct"/>
          </w:tcPr>
          <w:p w:rsidR="009C71F3" w:rsidRPr="00B5789C" w:rsidRDefault="009C71F3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Professional </w:t>
            </w:r>
            <w:r w:rsidRPr="00B5789C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</w:p>
        </w:tc>
        <w:tc>
          <w:tcPr>
            <w:tcW w:w="1847" w:type="pct"/>
            <w:vAlign w:val="center"/>
          </w:tcPr>
          <w:p w:rsidR="009C71F3" w:rsidRPr="00B5789C" w:rsidRDefault="009C71F3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3" w:type="pct"/>
          </w:tcPr>
          <w:p w:rsidR="009C71F3" w:rsidRPr="00B5789C" w:rsidRDefault="009C71F3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71F3" w:rsidRPr="00B5789C" w:rsidTr="00AF4D66">
        <w:trPr>
          <w:trHeight w:val="360"/>
        </w:trPr>
        <w:tc>
          <w:tcPr>
            <w:tcW w:w="971" w:type="pct"/>
          </w:tcPr>
          <w:p w:rsidR="009C71F3" w:rsidRPr="00B5789C" w:rsidRDefault="009C71F3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9" w:type="pct"/>
          </w:tcPr>
          <w:p w:rsidR="009C71F3" w:rsidRPr="00B5789C" w:rsidRDefault="009C71F3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C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847" w:type="pct"/>
            <w:vAlign w:val="center"/>
          </w:tcPr>
          <w:p w:rsidR="009C71F3" w:rsidRPr="00B5789C" w:rsidRDefault="009C71F3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3" w:type="pct"/>
          </w:tcPr>
          <w:p w:rsidR="009C71F3" w:rsidRPr="00B5789C" w:rsidRDefault="009C71F3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78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7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789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9C71F3" w:rsidRPr="00B5789C" w:rsidTr="00AF4D66">
        <w:trPr>
          <w:trHeight w:val="360"/>
        </w:trPr>
        <w:tc>
          <w:tcPr>
            <w:tcW w:w="971" w:type="pct"/>
            <w:vMerge w:val="restart"/>
          </w:tcPr>
          <w:p w:rsidR="009C71F3" w:rsidRPr="00B5789C" w:rsidRDefault="009C71F3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9" w:type="pct"/>
            <w:vMerge w:val="restart"/>
          </w:tcPr>
          <w:p w:rsidR="009C71F3" w:rsidRPr="00B5789C" w:rsidRDefault="009C71F3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C">
              <w:rPr>
                <w:rFonts w:ascii="Times New Roman" w:hAnsi="Times New Roman" w:cs="Times New Roman"/>
                <w:sz w:val="24"/>
                <w:szCs w:val="24"/>
              </w:rPr>
              <w:t xml:space="preserve">Building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Materials and Construction</w:t>
            </w:r>
          </w:p>
        </w:tc>
        <w:tc>
          <w:tcPr>
            <w:tcW w:w="1847" w:type="pct"/>
            <w:tcBorders>
              <w:bottom w:val="single" w:sz="4" w:space="0" w:color="auto"/>
            </w:tcBorders>
            <w:vAlign w:val="center"/>
          </w:tcPr>
          <w:p w:rsidR="009C71F3" w:rsidRPr="00B5789C" w:rsidRDefault="009C71F3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3" w:type="pct"/>
            <w:tcBorders>
              <w:bottom w:val="single" w:sz="4" w:space="0" w:color="auto"/>
            </w:tcBorders>
          </w:tcPr>
          <w:p w:rsidR="009C71F3" w:rsidRPr="00B5789C" w:rsidRDefault="009C71F3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C71F3" w:rsidRPr="00B5789C" w:rsidTr="00AF4D66">
        <w:trPr>
          <w:trHeight w:val="360"/>
        </w:trPr>
        <w:tc>
          <w:tcPr>
            <w:tcW w:w="971" w:type="pct"/>
            <w:vMerge/>
          </w:tcPr>
          <w:p w:rsidR="009C71F3" w:rsidRPr="00B5789C" w:rsidRDefault="009C71F3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9C71F3" w:rsidRPr="00B5789C" w:rsidRDefault="009C71F3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1F3" w:rsidRPr="00B5789C" w:rsidRDefault="009C71F3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B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3" w:type="pct"/>
            <w:tcBorders>
              <w:top w:val="single" w:sz="4" w:space="0" w:color="auto"/>
              <w:bottom w:val="single" w:sz="4" w:space="0" w:color="auto"/>
            </w:tcBorders>
          </w:tcPr>
          <w:p w:rsidR="009C71F3" w:rsidRPr="00B5789C" w:rsidRDefault="009C71F3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C71F3" w:rsidRPr="00B5789C" w:rsidTr="00AF4D66">
        <w:trPr>
          <w:trHeight w:val="360"/>
        </w:trPr>
        <w:tc>
          <w:tcPr>
            <w:tcW w:w="971" w:type="pct"/>
            <w:vMerge/>
          </w:tcPr>
          <w:p w:rsidR="009C71F3" w:rsidRPr="00B5789C" w:rsidRDefault="009C71F3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9C71F3" w:rsidRPr="00B5789C" w:rsidRDefault="009C71F3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</w:tcBorders>
            <w:vAlign w:val="center"/>
          </w:tcPr>
          <w:p w:rsidR="009C71F3" w:rsidRDefault="009C71F3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3" w:type="pct"/>
            <w:tcBorders>
              <w:top w:val="single" w:sz="4" w:space="0" w:color="auto"/>
            </w:tcBorders>
          </w:tcPr>
          <w:p w:rsidR="009C71F3" w:rsidRPr="00B5789C" w:rsidRDefault="009C71F3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C71F3" w:rsidRDefault="009C71F3" w:rsidP="009C71F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3"/>
        <w:gridCol w:w="693"/>
        <w:gridCol w:w="7166"/>
      </w:tblGrid>
      <w:tr w:rsidR="009C71F3" w:rsidRPr="00437683" w:rsidTr="00AF4D66">
        <w:trPr>
          <w:trHeight w:val="1427"/>
        </w:trPr>
        <w:tc>
          <w:tcPr>
            <w:tcW w:w="748" w:type="pct"/>
            <w:tcBorders>
              <w:bottom w:val="single" w:sz="4" w:space="0" w:color="auto"/>
            </w:tcBorders>
          </w:tcPr>
          <w:p w:rsidR="009C71F3" w:rsidRPr="00437683" w:rsidRDefault="009C71F3" w:rsidP="00AF4D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bjectives</w:t>
            </w:r>
          </w:p>
        </w:tc>
        <w:tc>
          <w:tcPr>
            <w:tcW w:w="4252" w:type="pct"/>
            <w:gridSpan w:val="2"/>
          </w:tcPr>
          <w:p w:rsidR="009C71F3" w:rsidRPr="00EF5008" w:rsidRDefault="009C71F3" w:rsidP="009C71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1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To enhance skill of students in preparing</w:t>
            </w:r>
            <w:r w:rsidRPr="005C51B1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estimate for civil engineering works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C71F3" w:rsidRPr="00EF5008" w:rsidRDefault="009C71F3" w:rsidP="009C71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50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recognize</w:t>
            </w:r>
            <w:r w:rsidRPr="00EF50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the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significance of specifications.</w:t>
            </w:r>
          </w:p>
          <w:p w:rsidR="009C71F3" w:rsidRPr="00EF5008" w:rsidRDefault="009C71F3" w:rsidP="009C71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50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perform</w:t>
            </w:r>
            <w:r w:rsidRPr="00EF50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the rate analysis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for earthwork, various types of masonry, and flooring</w:t>
            </w:r>
            <w:r w:rsidRPr="00EF50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C71F3" w:rsidRPr="00EF5008" w:rsidRDefault="009C71F3" w:rsidP="009C71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50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perform</w:t>
            </w:r>
            <w:r w:rsidRPr="00EF50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the rate analysis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for roofing, finishing, woodwork, and road work. </w:t>
            </w:r>
          </w:p>
          <w:p w:rsidR="009C71F3" w:rsidRPr="005C51B1" w:rsidRDefault="009C71F3" w:rsidP="009C71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5C51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To familiarize students</w:t>
            </w:r>
            <w:r w:rsidRPr="005C51B1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with the essentials of contracts.</w:t>
            </w:r>
          </w:p>
          <w:p w:rsidR="009C71F3" w:rsidRPr="00EF5008" w:rsidRDefault="009C71F3" w:rsidP="009C71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50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understand the principles of valuation</w:t>
            </w:r>
            <w:r w:rsidRPr="00EF50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C71F3" w:rsidRPr="0064633D" w:rsidTr="00AF4D66">
        <w:trPr>
          <w:trHeight w:val="427"/>
        </w:trPr>
        <w:tc>
          <w:tcPr>
            <w:tcW w:w="748" w:type="pct"/>
            <w:vMerge w:val="restart"/>
          </w:tcPr>
          <w:p w:rsidR="009C71F3" w:rsidRPr="000D030F" w:rsidRDefault="009C71F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C2">
              <w:rPr>
                <w:rFonts w:ascii="Times New Roman" w:hAnsi="Times New Roman" w:cs="Times New Roman"/>
                <w:b/>
                <w:sz w:val="24"/>
              </w:rPr>
              <w:t>Course Outcomes</w:t>
            </w:r>
          </w:p>
        </w:tc>
        <w:tc>
          <w:tcPr>
            <w:tcW w:w="375" w:type="pct"/>
          </w:tcPr>
          <w:p w:rsidR="009C71F3" w:rsidRPr="00437683" w:rsidRDefault="009C71F3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77" w:type="pct"/>
            <w:vAlign w:val="center"/>
          </w:tcPr>
          <w:p w:rsidR="009C71F3" w:rsidRPr="0064633D" w:rsidRDefault="009C71F3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</w:t>
            </w:r>
            <w:r w:rsidRPr="006463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repare approximate and detailed estimates of simple buildings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 road works</w:t>
            </w:r>
            <w:r w:rsidRPr="006463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C71F3" w:rsidRPr="0064633D" w:rsidTr="00AF4D66">
        <w:trPr>
          <w:trHeight w:val="121"/>
        </w:trPr>
        <w:tc>
          <w:tcPr>
            <w:tcW w:w="748" w:type="pct"/>
            <w:vMerge/>
          </w:tcPr>
          <w:p w:rsidR="009C71F3" w:rsidRPr="00437683" w:rsidRDefault="009C71F3" w:rsidP="00AF4D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pct"/>
          </w:tcPr>
          <w:p w:rsidR="009C71F3" w:rsidRPr="00437683" w:rsidRDefault="009C71F3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77" w:type="pct"/>
            <w:vAlign w:val="center"/>
          </w:tcPr>
          <w:p w:rsidR="009C71F3" w:rsidRPr="005C51B1" w:rsidRDefault="009C71F3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Gain thorough knowledge of </w:t>
            </w:r>
            <w:r w:rsidRPr="005C51B1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specifications of various materials and items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of building constructi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on.</w:t>
            </w:r>
          </w:p>
        </w:tc>
      </w:tr>
      <w:tr w:rsidR="009C71F3" w:rsidRPr="0064633D" w:rsidTr="00AF4D66">
        <w:trPr>
          <w:trHeight w:val="100"/>
        </w:trPr>
        <w:tc>
          <w:tcPr>
            <w:tcW w:w="748" w:type="pct"/>
            <w:vMerge/>
          </w:tcPr>
          <w:p w:rsidR="009C71F3" w:rsidRPr="00437683" w:rsidRDefault="009C71F3" w:rsidP="00AF4D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pct"/>
          </w:tcPr>
          <w:p w:rsidR="009C71F3" w:rsidRPr="00437683" w:rsidRDefault="009C71F3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77" w:type="pct"/>
            <w:vAlign w:val="center"/>
          </w:tcPr>
          <w:p w:rsidR="009C71F3" w:rsidRPr="005C51B1" w:rsidRDefault="009C71F3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Perform</w:t>
            </w:r>
            <w:r w:rsidRPr="005C51B1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rate analysis for earthwork, various types of masonry, and flooring.</w:t>
            </w:r>
          </w:p>
        </w:tc>
      </w:tr>
      <w:tr w:rsidR="009C71F3" w:rsidRPr="0064633D" w:rsidTr="00AF4D66">
        <w:trPr>
          <w:trHeight w:val="100"/>
        </w:trPr>
        <w:tc>
          <w:tcPr>
            <w:tcW w:w="748" w:type="pct"/>
            <w:vMerge/>
          </w:tcPr>
          <w:p w:rsidR="009C71F3" w:rsidRPr="00437683" w:rsidRDefault="009C71F3" w:rsidP="00AF4D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pct"/>
          </w:tcPr>
          <w:p w:rsidR="009C71F3" w:rsidRPr="00437683" w:rsidRDefault="009C71F3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77" w:type="pct"/>
            <w:vAlign w:val="center"/>
          </w:tcPr>
          <w:p w:rsidR="009C71F3" w:rsidRPr="0064633D" w:rsidRDefault="009C71F3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Perform the </w:t>
            </w:r>
            <w:r w:rsidRPr="006463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rate analysis for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roofing, plastering, pointing, woodworks of simple buildings, and road works.</w:t>
            </w:r>
          </w:p>
        </w:tc>
      </w:tr>
      <w:tr w:rsidR="009C71F3" w:rsidRPr="0064633D" w:rsidTr="00AF4D66">
        <w:trPr>
          <w:trHeight w:val="100"/>
        </w:trPr>
        <w:tc>
          <w:tcPr>
            <w:tcW w:w="748" w:type="pct"/>
            <w:vMerge/>
          </w:tcPr>
          <w:p w:rsidR="009C71F3" w:rsidRPr="00437683" w:rsidRDefault="009C71F3" w:rsidP="00AF4D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pct"/>
          </w:tcPr>
          <w:p w:rsidR="009C71F3" w:rsidRPr="00437683" w:rsidRDefault="009C71F3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77" w:type="pct"/>
            <w:vAlign w:val="center"/>
          </w:tcPr>
          <w:p w:rsidR="009C71F3" w:rsidRPr="0034458B" w:rsidRDefault="009C71F3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4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Evaluate contracts</w:t>
            </w:r>
            <w:r w:rsidRPr="0034458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344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tenders </w:t>
            </w:r>
            <w:r w:rsidRPr="0034458B">
              <w:rPr>
                <w:rFonts w:ascii="Times New Roman" w:hAnsi="Times New Roman" w:cs="Times New Roman"/>
                <w:sz w:val="24"/>
                <w:szCs w:val="24"/>
              </w:rPr>
              <w:t>in construction practices</w:t>
            </w:r>
            <w:r w:rsidRPr="00344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C71F3" w:rsidRPr="0064633D" w:rsidTr="00AF4D66">
        <w:trPr>
          <w:trHeight w:val="100"/>
        </w:trPr>
        <w:tc>
          <w:tcPr>
            <w:tcW w:w="748" w:type="pct"/>
            <w:vMerge/>
          </w:tcPr>
          <w:p w:rsidR="009C71F3" w:rsidRPr="00437683" w:rsidRDefault="009C71F3" w:rsidP="00AF4D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pct"/>
          </w:tcPr>
          <w:p w:rsidR="009C71F3" w:rsidRPr="00437683" w:rsidRDefault="009C71F3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77" w:type="pct"/>
            <w:vAlign w:val="center"/>
          </w:tcPr>
          <w:p w:rsidR="009C71F3" w:rsidRPr="0064633D" w:rsidRDefault="009C71F3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Calculate the value of tangible assets.</w:t>
            </w:r>
          </w:p>
        </w:tc>
      </w:tr>
      <w:tr w:rsidR="009C71F3" w:rsidRPr="00437683" w:rsidTr="00AF4D66">
        <w:trPr>
          <w:trHeight w:val="266"/>
        </w:trPr>
        <w:tc>
          <w:tcPr>
            <w:tcW w:w="748" w:type="pct"/>
            <w:vAlign w:val="center"/>
          </w:tcPr>
          <w:p w:rsidR="009C71F3" w:rsidRPr="00437683" w:rsidRDefault="009C71F3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52" w:type="pct"/>
            <w:gridSpan w:val="2"/>
          </w:tcPr>
          <w:p w:rsidR="009C71F3" w:rsidRPr="00B029C5" w:rsidRDefault="009C71F3" w:rsidP="00AF4D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B02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</w:t>
            </w:r>
          </w:p>
          <w:p w:rsidR="009C71F3" w:rsidRPr="00B029C5" w:rsidRDefault="009C71F3" w:rsidP="00AF4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b/>
                <w:sz w:val="24"/>
                <w:szCs w:val="24"/>
              </w:rPr>
              <w:t>INTRODUCTION: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 General items of work in buildings – Standard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s – Principles of working out quantities for detailed and abstract estimates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pproximate and detailed estimates of sim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ple buildings and road works.</w:t>
            </w:r>
          </w:p>
          <w:p w:rsidR="009C71F3" w:rsidRPr="00B029C5" w:rsidRDefault="009C71F3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B02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II</w:t>
            </w:r>
          </w:p>
          <w:p w:rsidR="009C71F3" w:rsidRDefault="009C71F3" w:rsidP="00AF4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b/>
                <w:sz w:val="24"/>
                <w:szCs w:val="24"/>
              </w:rPr>
              <w:t>SPECIFICATIONS: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 Types – Standard specifications for different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materials and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 items of building constructi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 Sand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 Lime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Cement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Kankar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Mortars – Earth work for foundations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oundation concrete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 Reinforced concrete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 Brick 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 Stone masonry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–Mosaic Flooring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.C.C.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 roof and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.I.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 sheet roof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lastering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ointing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Painting and wood works.</w:t>
            </w:r>
          </w:p>
          <w:p w:rsidR="009C71F3" w:rsidRPr="00563763" w:rsidRDefault="009C71F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B02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III</w:t>
            </w:r>
          </w:p>
          <w:p w:rsidR="009C71F3" w:rsidRPr="00B029C5" w:rsidRDefault="009C71F3" w:rsidP="00AF4D66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RATE ANALYSIS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</w:t>
            </w:r>
            <w:r w:rsidRPr="00B029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C71F3" w:rsidRPr="00B029C5" w:rsidRDefault="009C71F3" w:rsidP="00AF4D66">
            <w:pPr>
              <w:spacing w:after="0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Earthwork for foundations and basement of buildings.</w:t>
            </w:r>
          </w:p>
          <w:p w:rsidR="009C71F3" w:rsidRDefault="009C71F3" w:rsidP="00AF4D66">
            <w:pPr>
              <w:spacing w:after="0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Mortars: Lime mortar (1:1.5) and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 Cement Mortar (1:4)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1F3" w:rsidRDefault="009C71F3" w:rsidP="00AF4D66">
            <w:pPr>
              <w:spacing w:after="0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Foundation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oncrete: Lime concrete (1:2:4) and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 Cement Concrete (1:5:10)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1F3" w:rsidRDefault="009C71F3" w:rsidP="00AF4D66">
            <w:pPr>
              <w:spacing w:after="0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Reinforced Concrete: Lintels, Slabs, Beams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and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 Columns (1:2:4)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1F3" w:rsidRDefault="009C71F3" w:rsidP="00AF4D66">
            <w:pPr>
              <w:spacing w:after="0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Brickwork: Constructed with first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class bricks with L.M. (1:1.5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and C.M.(1:6)</w:t>
            </w:r>
          </w:p>
          <w:p w:rsidR="009C71F3" w:rsidRDefault="009C71F3" w:rsidP="00AF4D66">
            <w:pPr>
              <w:spacing w:after="0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Stone Masonry: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C.R.S. – 1</w:t>
            </w:r>
            <w:r w:rsidRPr="00B029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st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sort constructed with C.M. (1:2) and </w:t>
            </w:r>
          </w:p>
          <w:p w:rsidR="009C71F3" w:rsidRDefault="009C71F3" w:rsidP="00AF4D66">
            <w:pPr>
              <w:spacing w:after="0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Mason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ry: Lime mortar (1:1.5) and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C.M. (1:2)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1F3" w:rsidRDefault="009C71F3" w:rsidP="00AF4D66">
            <w:pPr>
              <w:spacing w:after="0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Flooring: 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1F3" w:rsidRPr="00BF2CD3" w:rsidRDefault="009C71F3" w:rsidP="009C71F3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3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proofErr w:type="spellStart"/>
            <w:r w:rsidRPr="00BF2CD3">
              <w:rPr>
                <w:rFonts w:ascii="Times New Roman" w:hAnsi="Times New Roman" w:cs="Times New Roman"/>
                <w:sz w:val="24"/>
                <w:szCs w:val="24"/>
              </w:rPr>
              <w:t>Cuddapah</w:t>
            </w:r>
            <w:proofErr w:type="spellEnd"/>
            <w:r w:rsidRPr="00BF2CD3">
              <w:rPr>
                <w:rFonts w:ascii="Times New Roman" w:hAnsi="Times New Roman" w:cs="Times New Roman"/>
                <w:sz w:val="24"/>
                <w:szCs w:val="24"/>
              </w:rPr>
              <w:t xml:space="preserve"> or Shahabad slabs.</w:t>
            </w:r>
          </w:p>
          <w:p w:rsidR="009C71F3" w:rsidRPr="00BF2CD3" w:rsidRDefault="009C71F3" w:rsidP="009C71F3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3">
              <w:rPr>
                <w:rFonts w:ascii="Times New Roman" w:hAnsi="Times New Roman" w:cs="Times New Roman"/>
                <w:sz w:val="24"/>
                <w:szCs w:val="24"/>
              </w:rPr>
              <w:t>Ellis pattern flooring with 10cm concrete and 20mm cement  concrete surface</w:t>
            </w:r>
          </w:p>
          <w:p w:rsidR="009C71F3" w:rsidRPr="00BF2CD3" w:rsidRDefault="009C71F3" w:rsidP="009C71F3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3">
              <w:rPr>
                <w:rFonts w:ascii="Times New Roman" w:hAnsi="Times New Roman" w:cs="Times New Roman"/>
                <w:sz w:val="24"/>
                <w:szCs w:val="24"/>
              </w:rPr>
              <w:t>Mosaic flooring.</w:t>
            </w:r>
          </w:p>
          <w:p w:rsidR="009C71F3" w:rsidRDefault="009C71F3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1F3" w:rsidRDefault="009C71F3" w:rsidP="00AF4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B02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IV</w:t>
            </w:r>
          </w:p>
          <w:p w:rsidR="009C71F3" w:rsidRDefault="009C71F3" w:rsidP="00AF4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b/>
                <w:sz w:val="24"/>
                <w:szCs w:val="24"/>
              </w:rPr>
              <w:t>RATE ANALYSIS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-II:</w:t>
            </w:r>
          </w:p>
          <w:p w:rsidR="009C71F3" w:rsidRDefault="009C71F3" w:rsidP="00AF4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F3" w:rsidRPr="00B029C5" w:rsidRDefault="009C71F3" w:rsidP="00AF4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Roofing: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a) R.C.C. roof 10cm thick,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 courses of flat tiles to top. </w:t>
            </w:r>
          </w:p>
          <w:p w:rsidR="009C71F3" w:rsidRPr="00B029C5" w:rsidRDefault="009C71F3" w:rsidP="00AF4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b) A.C. corrugated sheet roofing on steel </w:t>
            </w:r>
            <w:proofErr w:type="spellStart"/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purlins</w:t>
            </w:r>
            <w:proofErr w:type="spellEnd"/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1F3" w:rsidRPr="00B029C5" w:rsidRDefault="009C71F3" w:rsidP="00AF4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Plastering : 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ab/>
              <w:t>a) With L.M. (1:1.5) 2 coats (20mm thick)</w:t>
            </w:r>
          </w:p>
          <w:p w:rsidR="009C71F3" w:rsidRPr="00B029C5" w:rsidRDefault="009C71F3" w:rsidP="00AF4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ab/>
              <w:t>b) C.M. (1:4) 12mm thick.</w:t>
            </w:r>
          </w:p>
          <w:p w:rsidR="009C71F3" w:rsidRPr="00B029C5" w:rsidRDefault="009C71F3" w:rsidP="00AF4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Pointing: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ab/>
              <w:t>a) With C.M. (1:3) flush pointing to R.R. Masonry.</w:t>
            </w:r>
          </w:p>
          <w:p w:rsidR="009C71F3" w:rsidRPr="00B029C5" w:rsidRDefault="009C71F3" w:rsidP="00AF4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ab/>
              <w:t>b) C.M. (1:3) for brick masonry.</w:t>
            </w:r>
          </w:p>
          <w:p w:rsidR="009C71F3" w:rsidRPr="00B029C5" w:rsidRDefault="009C71F3" w:rsidP="00AF4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Painting: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a) Whitewashing and </w:t>
            </w:r>
            <w:proofErr w:type="spellStart"/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 washing of walls: 2 coats.</w:t>
            </w:r>
          </w:p>
          <w:p w:rsidR="009C71F3" w:rsidRPr="00B029C5" w:rsidRDefault="009C71F3" w:rsidP="00AF4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ab/>
              <w:t>b) Painting iron and woodwork: 3 coats.</w:t>
            </w:r>
          </w:p>
          <w:p w:rsidR="009C71F3" w:rsidRPr="00B029C5" w:rsidRDefault="009C71F3" w:rsidP="00AF4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Woodwork: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Pane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proofErr w:type="spellEnd"/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 doors and windows.</w:t>
            </w:r>
          </w:p>
          <w:p w:rsidR="009C71F3" w:rsidRPr="00B029C5" w:rsidRDefault="009C71F3" w:rsidP="00AF4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Road work: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W.B.M. road with bituminous carpet 20mm thick.</w:t>
            </w:r>
          </w:p>
          <w:p w:rsidR="009C71F3" w:rsidRDefault="009C71F3" w:rsidP="00AF4D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1F3" w:rsidRPr="00B029C5" w:rsidRDefault="009C71F3" w:rsidP="00AF4D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B02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–V</w:t>
            </w:r>
          </w:p>
          <w:p w:rsidR="009C71F3" w:rsidRPr="00A21AB5" w:rsidRDefault="009C71F3" w:rsidP="00AF4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b/>
                <w:sz w:val="24"/>
                <w:szCs w:val="24"/>
              </w:rPr>
              <w:t>CONTRACTS: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Essential requirements of a valid contract - Forms of contract-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Types of contracts–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 document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 of contracts–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 procedure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Termination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 of contracts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 Specifications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 Important conditions of contract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 Arbitration and tenders.</w:t>
            </w:r>
          </w:p>
          <w:p w:rsidR="009C71F3" w:rsidRPr="00B029C5" w:rsidRDefault="009C71F3" w:rsidP="00AF4D6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B02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VI</w:t>
            </w:r>
          </w:p>
          <w:p w:rsidR="009C71F3" w:rsidRPr="00364231" w:rsidRDefault="009C71F3" w:rsidP="00AF4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b/>
                <w:sz w:val="24"/>
                <w:szCs w:val="24"/>
              </w:rPr>
              <w:t>VALUATION: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 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Technique of valuation–Elements of valuation and Factors affecting valuation–Methods of valuation of land property and building property–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ate of interest for sale–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urchase–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ortgage–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apital gain–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ax–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Estate duty and death duty 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Types of valuation – Valuation for renewal of lease–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xtension of lease–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Methods of Ascertaining standard rent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asement rights–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reparation of feasibility reports–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aluation reports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wards.</w:t>
            </w:r>
          </w:p>
        </w:tc>
      </w:tr>
      <w:tr w:rsidR="009C71F3" w:rsidRPr="00437683" w:rsidTr="00AF4D66">
        <w:trPr>
          <w:trHeight w:val="3567"/>
        </w:trPr>
        <w:tc>
          <w:tcPr>
            <w:tcW w:w="748" w:type="pct"/>
          </w:tcPr>
          <w:p w:rsidR="009C71F3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1F3" w:rsidRPr="00437683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 and References</w:t>
            </w:r>
          </w:p>
        </w:tc>
        <w:tc>
          <w:tcPr>
            <w:tcW w:w="4252" w:type="pct"/>
            <w:gridSpan w:val="2"/>
          </w:tcPr>
          <w:p w:rsidR="009C71F3" w:rsidRDefault="009C71F3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71F3" w:rsidRPr="00B029C5" w:rsidRDefault="009C71F3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9C71F3" w:rsidRPr="00B029C5" w:rsidRDefault="009C71F3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71F3" w:rsidRPr="00093573" w:rsidRDefault="009C71F3" w:rsidP="009C71F3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B.N. </w:t>
            </w:r>
            <w:proofErr w:type="spellStart"/>
            <w:r w:rsidRPr="00386F64">
              <w:rPr>
                <w:rFonts w:ascii="Times New Roman" w:eastAsia="Times New Roman" w:hAnsi="Times New Roman" w:cs="Times New Roman"/>
                <w:sz w:val="24"/>
                <w:szCs w:val="24"/>
              </w:rPr>
              <w:t>Dutta</w:t>
            </w:r>
            <w:proofErr w:type="spellEnd"/>
            <w:r>
              <w:rPr>
                <w:rFonts w:ascii="Times New Roman" w:hAnsi="Times New Roman" w:cs="Times New Roman"/>
                <w:color w:val="0F1111"/>
                <w:sz w:val="24"/>
                <w:szCs w:val="24"/>
                <w:shd w:val="clear" w:color="auto" w:fill="FFFFFF"/>
              </w:rPr>
              <w:t xml:space="preserve">, </w:t>
            </w:r>
            <w:r w:rsidRPr="005351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Estimating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and </w:t>
            </w:r>
            <w:r w:rsidRPr="005351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Costing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in Civil Engineering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9357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UBS Publishers' Distributors Ltd</w:t>
            </w:r>
            <w:r w:rsidRPr="00093573">
              <w:rPr>
                <w:rFonts w:ascii="Times New Roman" w:hAnsi="Times New Roman" w:cs="Times New Roman"/>
                <w:color w:val="0F1111"/>
                <w:sz w:val="24"/>
                <w:szCs w:val="24"/>
                <w:shd w:val="clear" w:color="auto" w:fill="FFFFFF"/>
              </w:rPr>
              <w:t xml:space="preserve"> publications, 28</w:t>
            </w:r>
            <w:r w:rsidRPr="00093573">
              <w:rPr>
                <w:rFonts w:ascii="Times New Roman" w:hAnsi="Times New Roman" w:cs="Times New Roman"/>
                <w:color w:val="0F1111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093573">
              <w:rPr>
                <w:rFonts w:ascii="Times New Roman" w:hAnsi="Times New Roman" w:cs="Times New Roman"/>
                <w:color w:val="0F1111"/>
                <w:sz w:val="24"/>
                <w:szCs w:val="24"/>
                <w:shd w:val="clear" w:color="auto" w:fill="FFFFFF"/>
              </w:rPr>
              <w:t xml:space="preserve"> revised Edition, 2016.</w:t>
            </w:r>
          </w:p>
          <w:p w:rsidR="009C71F3" w:rsidRPr="00093573" w:rsidRDefault="009C71F3" w:rsidP="009C71F3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F64">
              <w:rPr>
                <w:rFonts w:ascii="Times New Roman" w:eastAsia="Times New Roman" w:hAnsi="Times New Roman" w:cs="Times New Roman"/>
                <w:sz w:val="24"/>
                <w:szCs w:val="24"/>
              </w:rPr>
              <w:t>G.S.Birdie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86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6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proofErr w:type="gramEnd"/>
            <w:r w:rsidRPr="007B6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Textbook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1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Estimating and Costing in Civil Engineering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386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F64">
              <w:rPr>
                <w:rFonts w:ascii="Times New Roman" w:hAnsi="Times New Roman" w:cs="Times New Roman"/>
                <w:color w:val="0F1111"/>
                <w:sz w:val="24"/>
                <w:szCs w:val="24"/>
                <w:shd w:val="clear" w:color="auto" w:fill="FFFFFF"/>
              </w:rPr>
              <w:t>Dhanpat</w:t>
            </w:r>
            <w:proofErr w:type="spellEnd"/>
            <w:r w:rsidRPr="00386F64">
              <w:rPr>
                <w:rFonts w:ascii="Times New Roman" w:hAnsi="Times New Roman" w:cs="Times New Roman"/>
                <w:color w:val="0F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6F64">
              <w:rPr>
                <w:rFonts w:ascii="Times New Roman" w:hAnsi="Times New Roman" w:cs="Times New Roman"/>
                <w:color w:val="0F1111"/>
                <w:sz w:val="24"/>
                <w:szCs w:val="24"/>
                <w:shd w:val="clear" w:color="auto" w:fill="FFFFFF"/>
              </w:rPr>
              <w:t>Rai</w:t>
            </w:r>
            <w:proofErr w:type="spellEnd"/>
            <w:r w:rsidRPr="00386F64">
              <w:rPr>
                <w:rFonts w:ascii="Times New Roman" w:hAnsi="Times New Roman" w:cs="Times New Roman"/>
                <w:color w:val="0F1111"/>
                <w:sz w:val="24"/>
                <w:szCs w:val="24"/>
                <w:shd w:val="clear" w:color="auto" w:fill="FFFFFF"/>
              </w:rPr>
              <w:t xml:space="preserve"> Publishing Co</w:t>
            </w:r>
            <w:r>
              <w:rPr>
                <w:rFonts w:ascii="Times New Roman" w:hAnsi="Times New Roman" w:cs="Times New Roman"/>
                <w:color w:val="0F1111"/>
                <w:sz w:val="24"/>
                <w:szCs w:val="24"/>
                <w:shd w:val="clear" w:color="auto" w:fill="FFFFFF"/>
              </w:rPr>
              <w:t>mpany Private Limited,</w:t>
            </w:r>
            <w:r w:rsidRPr="00386F64">
              <w:rPr>
                <w:rFonts w:ascii="Times New Roman" w:hAnsi="Times New Roman" w:cs="Times New Roman"/>
                <w:color w:val="0F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F1111"/>
                <w:sz w:val="24"/>
                <w:szCs w:val="24"/>
                <w:shd w:val="clear" w:color="auto" w:fill="FFFFFF"/>
              </w:rPr>
              <w:t>6</w:t>
            </w:r>
            <w:r w:rsidRPr="0053518F">
              <w:rPr>
                <w:rFonts w:ascii="Times New Roman" w:hAnsi="Times New Roman" w:cs="Times New Roman"/>
                <w:color w:val="0F1111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386F64">
              <w:rPr>
                <w:rFonts w:ascii="Times New Roman" w:hAnsi="Times New Roman" w:cs="Times New Roman"/>
                <w:color w:val="0F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F1111"/>
                <w:sz w:val="24"/>
                <w:szCs w:val="24"/>
                <w:shd w:val="clear" w:color="auto" w:fill="FFFFFF"/>
              </w:rPr>
              <w:t>E</w:t>
            </w:r>
            <w:r w:rsidRPr="00386F64">
              <w:rPr>
                <w:rFonts w:ascii="Times New Roman" w:hAnsi="Times New Roman" w:cs="Times New Roman"/>
                <w:color w:val="0F1111"/>
                <w:sz w:val="24"/>
                <w:szCs w:val="24"/>
                <w:shd w:val="clear" w:color="auto" w:fill="FFFFFF"/>
              </w:rPr>
              <w:t>dition</w:t>
            </w:r>
            <w:r>
              <w:rPr>
                <w:rFonts w:ascii="Times New Roman" w:hAnsi="Times New Roman" w:cs="Times New Roman"/>
                <w:color w:val="0F1111"/>
                <w:sz w:val="24"/>
                <w:szCs w:val="24"/>
                <w:shd w:val="clear" w:color="auto" w:fill="FFFFFF"/>
              </w:rPr>
              <w:t>, 2014</w:t>
            </w:r>
            <w:r w:rsidRPr="00386F64">
              <w:rPr>
                <w:rFonts w:ascii="Times New Roman" w:hAnsi="Times New Roman" w:cs="Times New Roman"/>
                <w:color w:val="0F1111"/>
                <w:sz w:val="24"/>
                <w:szCs w:val="24"/>
                <w:shd w:val="clear" w:color="auto" w:fill="FFFFFF"/>
              </w:rPr>
              <w:t>.</w:t>
            </w:r>
          </w:p>
          <w:p w:rsidR="009C71F3" w:rsidRPr="00093573" w:rsidRDefault="009C71F3" w:rsidP="009C71F3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Pr="00093573">
              <w:rPr>
                <w:rFonts w:ascii="Times New Roman" w:hAnsi="Times New Roman" w:cs="Times New Roman"/>
                <w:sz w:val="24"/>
                <w:szCs w:val="24"/>
              </w:rPr>
              <w:t>Chakraborti</w:t>
            </w:r>
            <w:proofErr w:type="spellEnd"/>
            <w:r w:rsidRPr="000935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Estimation, costing, specifications and valuation </w:t>
            </w:r>
            <w:r w:rsidRPr="00D44178">
              <w:rPr>
                <w:rFonts w:ascii="Times New Roman" w:hAnsi="Times New Roman" w:cs="Times New Roman"/>
                <w:i/>
                <w:sz w:val="24"/>
                <w:szCs w:val="24"/>
              </w:rPr>
              <w:t>in civil engineering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Published by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Chakraborthi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revised Edition, 2006</w:t>
            </w:r>
          </w:p>
          <w:p w:rsidR="009C71F3" w:rsidRPr="00093573" w:rsidRDefault="009C71F3" w:rsidP="00AF4D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71F3" w:rsidRPr="00B029C5" w:rsidRDefault="009C71F3" w:rsidP="00AF4D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BOOK</w:t>
            </w:r>
            <w:r w:rsidRPr="00EA58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S:</w:t>
            </w:r>
          </w:p>
          <w:p w:rsidR="009C71F3" w:rsidRPr="00B10289" w:rsidRDefault="009C71F3" w:rsidP="009C71F3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Andhra Pradesh Revised Standard Data Book Part-1, 2017-18</w:t>
            </w:r>
          </w:p>
          <w:p w:rsidR="009C71F3" w:rsidRPr="0010647F" w:rsidRDefault="009C71F3" w:rsidP="009C71F3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eastAsia="Times New Roman" w:hAnsi="Times New Roman" w:cs="Times New Roman"/>
                <w:sz w:val="24"/>
                <w:szCs w:val="24"/>
              </w:rPr>
              <w:t>A.P. Department standard specifications.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V. 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Narayana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R&amp;B, 2013</w:t>
            </w:r>
          </w:p>
        </w:tc>
      </w:tr>
    </w:tbl>
    <w:p w:rsidR="009C71F3" w:rsidRDefault="009C71F3" w:rsidP="009C71F3"/>
    <w:p w:rsidR="009C71F3" w:rsidRDefault="009C71F3" w:rsidP="009C71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696"/>
        <w:gridCol w:w="686"/>
        <w:gridCol w:w="686"/>
        <w:gridCol w:w="686"/>
        <w:gridCol w:w="686"/>
        <w:gridCol w:w="686"/>
        <w:gridCol w:w="686"/>
        <w:gridCol w:w="686"/>
        <w:gridCol w:w="687"/>
        <w:gridCol w:w="687"/>
        <w:gridCol w:w="790"/>
        <w:gridCol w:w="790"/>
        <w:gridCol w:w="790"/>
      </w:tblGrid>
      <w:tr w:rsidR="009C71F3" w:rsidRPr="00416EF6" w:rsidTr="00AF4D66">
        <w:trPr>
          <w:trHeight w:val="30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1F3" w:rsidRPr="00110119" w:rsidRDefault="009C71F3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9C71F3" w:rsidRPr="00416EF6" w:rsidTr="00AF4D66">
        <w:trPr>
          <w:trHeight w:val="3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1F3" w:rsidRPr="00110119" w:rsidRDefault="009C71F3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1F3" w:rsidRPr="00416EF6" w:rsidTr="00AF4D66">
        <w:trPr>
          <w:trHeight w:val="3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1F3" w:rsidRPr="00110119" w:rsidRDefault="009C71F3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1F3" w:rsidRPr="00416EF6" w:rsidTr="00AF4D66">
        <w:trPr>
          <w:trHeight w:val="3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1F3" w:rsidRPr="00110119" w:rsidRDefault="009C71F3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1F3" w:rsidRPr="00416EF6" w:rsidTr="00AF4D66">
        <w:trPr>
          <w:trHeight w:val="3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1F3" w:rsidRPr="00110119" w:rsidRDefault="009C71F3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1F3" w:rsidRPr="00416EF6" w:rsidTr="00AF4D66">
        <w:trPr>
          <w:trHeight w:val="3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1F3" w:rsidRPr="00110119" w:rsidRDefault="009C71F3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1F3" w:rsidRPr="00416EF6" w:rsidTr="00AF4D66">
        <w:trPr>
          <w:trHeight w:val="30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1F3" w:rsidRPr="00110119" w:rsidRDefault="009C71F3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F3" w:rsidRPr="00110119" w:rsidRDefault="009C71F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D6F2C"/>
    <w:multiLevelType w:val="hybridMultilevel"/>
    <w:tmpl w:val="9142F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C71F3"/>
    <w:rsid w:val="007D52F0"/>
    <w:rsid w:val="009C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1F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C71F3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9C71F3"/>
    <w:rPr>
      <w:rFonts w:ascii="Calibri" w:eastAsia="Calibri" w:hAnsi="Calibri" w:cs="Gautam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3927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2021-10-23T05:55:00Z</dcterms:created>
  <dcterms:modified xsi:type="dcterms:W3CDTF">2021-10-23T05:55:00Z</dcterms:modified>
</cp:coreProperties>
</file>